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1AB" w:rsidP="0037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3751AB" w:rsidP="0037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3751AB" w:rsidP="0037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31 января 2025 года  </w:t>
      </w: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№5-92-2802/2025, возбужденное по ч.4 ст.12.15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Кузнецова </w:t>
      </w:r>
      <w:r w:rsidR="00943EBB">
        <w:rPr>
          <w:b/>
          <w:color w:val="000000"/>
          <w:sz w:val="28"/>
          <w:szCs w:val="28"/>
        </w:rPr>
        <w:t>***</w:t>
      </w:r>
    </w:p>
    <w:p w:rsidR="003751AB" w:rsidP="00375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51AB" w:rsidP="00375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 А.Н. 19.12.2024 в 21 час. 17 мин. </w:t>
      </w:r>
      <w:r w:rsidR="00943EBB">
        <w:rPr>
          <w:b/>
          <w:color w:val="000000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«Тойота» регистрационный знак </w:t>
      </w:r>
      <w:r w:rsidR="00943EBB">
        <w:rPr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п.1.3 ПДД РФ в зоне действия дорожного знака 3.20 «обгон запрещен» совершил обгон впереди движущегося транспортного средства с выездом на сторону проезжей части дороги, предназначенной для встречного движения.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Кузнецов А.Н. в судебном заседании вину признал, указал что </w:t>
      </w:r>
      <w:r w:rsidR="00355C92">
        <w:rPr>
          <w:rFonts w:ascii="Times New Roman" w:hAnsi="Times New Roman" w:cs="Times New Roman"/>
          <w:sz w:val="26"/>
          <w:szCs w:val="26"/>
        </w:rPr>
        <w:t>поддерживает свои пояснения, указанные в протоколе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51AB" w:rsidP="003751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Изучив материалы дела, мировой судья пришел к следующему.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3751AB" w:rsidP="003751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п.9.1.1 ПДД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на любых дорогах с двусторонним движением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305770/entry/2013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4" w:anchor="/document/1305770/entry/2111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1.11</w:t>
        </w:r>
      </w:hyperlink>
      <w:r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3751AB" w:rsidP="00375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751AB" w:rsidP="00375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3751AB" w:rsidP="00375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Субъективная сторона правонарушения характеризуется умышленной или неосторожной формой вины.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4 статьи 12.15 КоАП РФ подлежат квалификации действия, которые связаны с нарушением водителями требований Правил дорожного движения, дорожных знаков или разметки, повлекшие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 3 данной статьи. Непосредственно такие требования установлены п.п.9.2, 9.3, 11.4, 15.3, 9.6, 8.6 ПДД РФ. Действия водителя по ч.4 ст.12.15 КоАП РФ можно также квалифицировать при 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 требований дорожных знаков или разметки, которые повлекли выезд на сторону проезжей части дороги, предназначенную для встречного движения (3.20 «Обгон запрещен», 3.22 «Обгон грузовым автомобилем запрещен», 5.11 «Дорога с полосой для маршрутных транспортных средств», 5.15.7 «Направление движения по полосам», дорожной разметки 1.1, 1.3, 1.11 (разделяющих транспортные потоки противоположных направлений), а также нарушение водителем требований дорожного знака 4.3 «Круговое движение», повлекшее движение во встречном направлении по дороге, предназначенной для одностороннего движения).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Кузнецова А.Н. в совершении вмененного правонарушения подтверждается совокупностью исследованных судом доказательств. 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правонарушении. При его составлении разъяснены права, предусмотренные ст.51 Конституции РФ и ст.25.1 КоАП РФ. Протокол об административном правонарушении составлен в соответствии с требованиями КоАП РФ. 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2)Схемой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происшествия, данные в которой соответствуют обстоятельствам нарушения, указанным в протоколе об административном правонарушении. Со схемой Кузнецов А.Н. был ознакомлен.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pacing w:val="-1"/>
          <w:sz w:val="26"/>
          <w:szCs w:val="26"/>
        </w:rPr>
        <w:t>Рапортом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сотрудника ГИБДД. </w:t>
      </w:r>
    </w:p>
    <w:p w:rsidR="003751AB" w:rsidP="003751A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>Дислокацией</w:t>
      </w:r>
      <w:r>
        <w:rPr>
          <w:rFonts w:ascii="Times New Roman" w:hAnsi="Times New Roman" w:cs="Times New Roman"/>
          <w:sz w:val="26"/>
          <w:szCs w:val="26"/>
        </w:rPr>
        <w:t xml:space="preserve"> дорожных знаков.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5)Объяснением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свидетеля от 19.12.2024.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751AB" w:rsidP="003751A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и иные материалы дела в отношении Кузнецова А.Н. составлены в соответствии с требованиями КоАП РФ.     </w:t>
      </w:r>
    </w:p>
    <w:p w:rsidR="003751AB" w:rsidP="003751AB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прав при составлении административного материала допущено не было.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hAnsi="Times New Roman" w:cs="Times New Roman"/>
          <w:sz w:val="26"/>
          <w:szCs w:val="26"/>
        </w:rPr>
        <w:t>Кузнецова 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действия по факту выезда в нарушение Правил дорожного движения на сторону проезжей части дороги, предназначенную для встречного движения, за исключением случаев, предусмотренных ч.3 ст.12.15 КоАП РФ, нашли свое подтверждение. </w:t>
      </w:r>
    </w:p>
    <w:p w:rsidR="00355C92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 Кузнецова А.Н. не освобождают от административной ответственности.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нарушителя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 квалифицирует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ч.4 ст.12.15 КоАП РФ.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55C92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55C92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751AB" w:rsidP="00375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3751AB" w:rsidP="003751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751AB" w:rsidP="00375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Кузнецова </w:t>
      </w:r>
      <w:r w:rsidR="00943EBB">
        <w:rPr>
          <w:b/>
          <w:color w:val="000000"/>
          <w:sz w:val="28"/>
          <w:szCs w:val="28"/>
        </w:rPr>
        <w:t xml:space="preserve">***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ч.4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ст.12.15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5000 (пять тысяч)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рублей. </w:t>
      </w:r>
    </w:p>
    <w:p w:rsidR="003751AB" w:rsidP="00375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районный 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путем подачи жалобы мировому судье в течение 10 суток со дня получения копии постановления.</w:t>
      </w:r>
    </w:p>
    <w:p w:rsidR="003751AB" w:rsidP="0037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3751AB" w:rsidP="00375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3751AB" w:rsidP="00375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Административный штраф подлежит уплате по реквизитам:  </w:t>
      </w:r>
    </w:p>
    <w:p w:rsidR="003751AB" w:rsidP="00375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18810486240910020851.</w:t>
      </w:r>
    </w:p>
    <w:p w:rsidR="003751AB" w:rsidP="003751AB">
      <w:pPr>
        <w:pStyle w:val="BodyText2"/>
        <w:ind w:firstLine="567"/>
        <w:rPr>
          <w:szCs w:val="26"/>
        </w:rPr>
      </w:pPr>
    </w:p>
    <w:p w:rsidR="003751AB" w:rsidP="003751AB">
      <w:pPr>
        <w:pStyle w:val="BodyText2"/>
        <w:rPr>
          <w:szCs w:val="26"/>
        </w:rPr>
      </w:pPr>
    </w:p>
    <w:p w:rsidR="003751AB" w:rsidP="003751AB">
      <w:pPr>
        <w:pStyle w:val="BodyText2"/>
        <w:rPr>
          <w:szCs w:val="26"/>
        </w:rPr>
      </w:pPr>
      <w:r>
        <w:rPr>
          <w:szCs w:val="26"/>
        </w:rPr>
        <w:t xml:space="preserve">Мировой судья </w:t>
      </w: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</w:p>
    <w:p w:rsidR="003751AB" w:rsidP="0037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О.А. Новокшенова  </w:t>
      </w:r>
    </w:p>
    <w:p w:rsidR="003751AB" w:rsidP="003751AB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3751AB" w:rsidP="003751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О.А. Новокшенова</w:t>
      </w:r>
    </w:p>
    <w:p w:rsidR="003751AB" w:rsidP="003751AB"/>
    <w:p w:rsidR="003751AB" w:rsidP="003751AB"/>
    <w:p w:rsidR="003751AB" w:rsidP="003751AB"/>
    <w:p w:rsidR="003751AB" w:rsidP="003751AB"/>
    <w:p w:rsidR="00425E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DD"/>
    <w:rsid w:val="00355C92"/>
    <w:rsid w:val="003751AB"/>
    <w:rsid w:val="00425E28"/>
    <w:rsid w:val="008E3FDD"/>
    <w:rsid w:val="00943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0E066E-3B07-426E-B39B-E4C45A65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51A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751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751AB"/>
  </w:style>
  <w:style w:type="paragraph" w:styleId="BodyTextIndent">
    <w:name w:val="Body Text Indent"/>
    <w:basedOn w:val="Normal"/>
    <w:link w:val="a0"/>
    <w:uiPriority w:val="99"/>
    <w:semiHidden/>
    <w:unhideWhenUsed/>
    <w:rsid w:val="003751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51AB"/>
  </w:style>
  <w:style w:type="paragraph" w:styleId="BodyText2">
    <w:name w:val="Body Text 2"/>
    <w:basedOn w:val="Normal"/>
    <w:link w:val="2"/>
    <w:semiHidden/>
    <w:unhideWhenUsed/>
    <w:rsid w:val="003751A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3751A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2.15\18.11%201244%20&#1047;&#1072;&#1088;&#1091;&#1073;&#1080;&#1085;%203.20,%201.1.docx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